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58" w:rsidRDefault="00CF4758">
      <w:pPr>
        <w:rPr>
          <w:rFonts w:asciiTheme="minorEastAsia" w:eastAsiaTheme="minorEastAsia" w:hAnsiTheme="minorEastAsia" w:cs="黑体"/>
          <w:b/>
          <w:bCs/>
          <w:color w:val="FF0000"/>
          <w:spacing w:val="-55"/>
          <w:sz w:val="56"/>
          <w:szCs w:val="56"/>
        </w:rPr>
      </w:pPr>
    </w:p>
    <w:p w:rsidR="00CF4758" w:rsidRDefault="00DC1118">
      <w:pPr>
        <w:jc w:val="center"/>
        <w:rPr>
          <w:rFonts w:asciiTheme="minorEastAsia" w:eastAsiaTheme="minorEastAsia" w:hAnsiTheme="minorEastAsia" w:cs="Times New Roman"/>
          <w:b/>
          <w:color w:val="FF0000"/>
          <w:w w:val="42"/>
          <w:kern w:val="0"/>
          <w:sz w:val="144"/>
          <w:szCs w:val="144"/>
        </w:rPr>
      </w:pPr>
      <w:r>
        <w:rPr>
          <w:rFonts w:asciiTheme="minorEastAsia" w:eastAsiaTheme="minorEastAsia" w:hAnsiTheme="minorEastAsia" w:cs="Times New Roman" w:hint="eastAsia"/>
          <w:b/>
          <w:color w:val="FF0000"/>
          <w:w w:val="42"/>
          <w:kern w:val="0"/>
          <w:sz w:val="144"/>
          <w:szCs w:val="144"/>
        </w:rPr>
        <w:t>向阳区营商环境建设监督局文件</w:t>
      </w:r>
    </w:p>
    <w:p w:rsidR="00CF4758" w:rsidRDefault="00CF4758">
      <w:pPr>
        <w:rPr>
          <w:b/>
          <w:sz w:val="30"/>
          <w:highlight w:val="red"/>
        </w:rPr>
      </w:pPr>
    </w:p>
    <w:p w:rsidR="00CF4758" w:rsidRDefault="00CF4758">
      <w:pPr>
        <w:spacing w:line="100" w:lineRule="atLeast"/>
        <w:rPr>
          <w:b/>
          <w:sz w:val="30"/>
          <w:highlight w:val="red"/>
        </w:rPr>
      </w:pPr>
    </w:p>
    <w:p w:rsidR="00CF4758" w:rsidRDefault="00DC1118">
      <w:pPr>
        <w:spacing w:line="100" w:lineRule="exact"/>
        <w:rPr>
          <w:b/>
          <w:color w:val="FF0000"/>
          <w:sz w:val="44"/>
          <w:u w:val="thick" w:color="FF0000"/>
        </w:rPr>
      </w:pPr>
      <w:r>
        <w:rPr>
          <w:b/>
          <w:color w:val="FF0000"/>
          <w:sz w:val="44"/>
          <w:u w:val="thick" w:color="FF0000"/>
        </w:rPr>
        <w:t xml:space="preserve">                         </w:t>
      </w:r>
      <w:r>
        <w:rPr>
          <w:rFonts w:hint="eastAsia"/>
          <w:b/>
          <w:color w:val="FF0000"/>
          <w:sz w:val="44"/>
          <w:u w:val="thick" w:color="FF0000"/>
        </w:rPr>
        <w:t xml:space="preserve">               </w:t>
      </w:r>
    </w:p>
    <w:p w:rsidR="00CF4758" w:rsidRDefault="00CF4758">
      <w:pPr>
        <w:spacing w:line="560" w:lineRule="exact"/>
        <w:jc w:val="left"/>
        <w:rPr>
          <w:rFonts w:ascii="Times New Roman" w:eastAsia="楷体" w:hAnsi="Times New Roman" w:cs="Times New Roman"/>
          <w:sz w:val="32"/>
          <w:szCs w:val="32"/>
        </w:rPr>
      </w:pPr>
    </w:p>
    <w:p w:rsidR="00CF4758" w:rsidRDefault="00DC1118">
      <w:pPr>
        <w:spacing w:line="560" w:lineRule="exact"/>
        <w:jc w:val="center"/>
        <w:rPr>
          <w:rFonts w:ascii="宋体" w:hAnsi="宋体"/>
          <w:b/>
          <w:bCs/>
          <w:sz w:val="44"/>
          <w:szCs w:val="44"/>
        </w:rPr>
      </w:pPr>
      <w:r>
        <w:rPr>
          <w:rFonts w:ascii="宋体" w:hAnsi="宋体" w:hint="eastAsia"/>
          <w:b/>
          <w:bCs/>
          <w:sz w:val="44"/>
          <w:szCs w:val="44"/>
        </w:rPr>
        <w:t>关于2023年度向阳区营商环境建设监督局</w:t>
      </w:r>
    </w:p>
    <w:p w:rsidR="00CF4758" w:rsidRDefault="00DC1118">
      <w:pPr>
        <w:spacing w:line="560" w:lineRule="exact"/>
        <w:jc w:val="center"/>
        <w:rPr>
          <w:rFonts w:ascii="Arial"/>
        </w:rPr>
      </w:pPr>
      <w:bookmarkStart w:id="0" w:name="_GoBack"/>
      <w:bookmarkEnd w:id="0"/>
      <w:r>
        <w:rPr>
          <w:rFonts w:ascii="宋体" w:hAnsi="宋体" w:hint="eastAsia"/>
          <w:b/>
          <w:bCs/>
          <w:sz w:val="44"/>
          <w:szCs w:val="44"/>
        </w:rPr>
        <w:t>法治政府建设工作情况的报告</w:t>
      </w:r>
    </w:p>
    <w:p w:rsidR="00CF4758" w:rsidRDefault="00DC1118">
      <w:pPr>
        <w:pStyle w:val="a3"/>
        <w:spacing w:before="209" w:line="224" w:lineRule="auto"/>
        <w:ind w:left="333"/>
        <w:rPr>
          <w:sz w:val="32"/>
          <w:szCs w:val="32"/>
          <w:lang w:eastAsia="zh-CN"/>
        </w:rPr>
      </w:pPr>
      <w:r>
        <w:rPr>
          <w:rFonts w:hint="eastAsia"/>
          <w:sz w:val="32"/>
          <w:szCs w:val="32"/>
          <w:lang w:eastAsia="zh-CN"/>
        </w:rPr>
        <w:t>区政府：</w:t>
      </w:r>
    </w:p>
    <w:p w:rsidR="00CF4758" w:rsidRDefault="00DC1118">
      <w:pPr>
        <w:pStyle w:val="a3"/>
        <w:numPr>
          <w:ilvl w:val="0"/>
          <w:numId w:val="1"/>
        </w:numPr>
        <w:spacing w:before="209" w:line="224" w:lineRule="auto"/>
        <w:ind w:firstLineChars="300" w:firstLine="960"/>
        <w:rPr>
          <w:rFonts w:ascii="黑体" w:eastAsia="黑体" w:hAnsi="黑体" w:cs="黑体"/>
          <w:sz w:val="32"/>
          <w:szCs w:val="32"/>
          <w:lang w:eastAsia="zh-CN"/>
        </w:rPr>
      </w:pPr>
      <w:r>
        <w:rPr>
          <w:rFonts w:ascii="黑体" w:eastAsia="黑体" w:hAnsi="黑体" w:cs="黑体" w:hint="eastAsia"/>
          <w:sz w:val="32"/>
          <w:szCs w:val="32"/>
          <w:lang w:eastAsia="zh-CN"/>
        </w:rPr>
        <w:t>推进法治政府建设的主要举措和成效</w:t>
      </w:r>
    </w:p>
    <w:p w:rsidR="00CF4758" w:rsidRDefault="00DC1118">
      <w:pPr>
        <w:spacing w:line="560" w:lineRule="exact"/>
        <w:rPr>
          <w:rFonts w:ascii="仿宋" w:eastAsia="仿宋" w:hAnsi="仿宋"/>
          <w:sz w:val="32"/>
          <w:szCs w:val="32"/>
        </w:rPr>
      </w:pPr>
      <w:r>
        <w:rPr>
          <w:rFonts w:ascii="楷体" w:eastAsia="楷体" w:hAnsi="楷体" w:cs="楷体" w:hint="eastAsia"/>
          <w:b/>
          <w:bCs/>
          <w:sz w:val="32"/>
          <w:szCs w:val="32"/>
        </w:rPr>
        <w:t xml:space="preserve">    （一）坚持依法行政，打造便民利企营商环境。</w:t>
      </w:r>
      <w:r>
        <w:rPr>
          <w:rFonts w:ascii="仿宋" w:eastAsia="仿宋" w:hAnsi="仿宋" w:hint="eastAsia"/>
          <w:sz w:val="32"/>
          <w:szCs w:val="32"/>
        </w:rPr>
        <w:t>将优化法治营商环境作为全局重点工作，充分发挥法治对营商环境的引领和保障作用。为方便市场主体和群众办事创业，让数据多跑路/群众和企业少跑腿，持续营造更加便捷、更加优质的政务环境、市场环境、投资环境、信用环境，推出“一件事 ”办理35项，落实43项行政审批信用承诺制服务事项，设立“办不成事”反映窗口，全力解决企业办事环节多、材料多、等待时间久等突出问题。</w:t>
      </w:r>
    </w:p>
    <w:p w:rsidR="00CF4758" w:rsidRDefault="00DC1118">
      <w:pPr>
        <w:spacing w:line="560" w:lineRule="exact"/>
        <w:rPr>
          <w:rFonts w:ascii="仿宋" w:eastAsia="仿宋" w:hAnsi="仿宋" w:cs="仿宋"/>
          <w:sz w:val="32"/>
          <w:szCs w:val="32"/>
        </w:rPr>
      </w:pPr>
      <w:r>
        <w:rPr>
          <w:rFonts w:ascii="楷体" w:eastAsia="楷体" w:hAnsi="楷体" w:cs="楷体" w:hint="eastAsia"/>
          <w:b/>
          <w:bCs/>
          <w:sz w:val="32"/>
          <w:szCs w:val="32"/>
        </w:rPr>
        <w:t xml:space="preserve">    （二）建立健全制度机制，完善法治化营商环境</w:t>
      </w:r>
      <w:r>
        <w:rPr>
          <w:rFonts w:ascii="楷体" w:eastAsia="楷体" w:hAnsi="楷体" w:hint="eastAsia"/>
          <w:b/>
          <w:sz w:val="32"/>
          <w:szCs w:val="32"/>
        </w:rPr>
        <w:t>。</w:t>
      </w:r>
      <w:r>
        <w:rPr>
          <w:rFonts w:ascii="仿宋" w:eastAsia="仿宋" w:hAnsi="仿宋" w:cs="仿宋" w:hint="eastAsia"/>
          <w:sz w:val="32"/>
          <w:szCs w:val="32"/>
        </w:rPr>
        <w:t>出台了《佳木斯市向阳区加快推进社会信用体系建设构建以信用为基础的新型监管机制工作方案》《向阳区社会信用体系建设工作制</w:t>
      </w:r>
      <w:r>
        <w:rPr>
          <w:rFonts w:ascii="仿宋" w:eastAsia="仿宋" w:hAnsi="仿宋" w:cs="仿宋" w:hint="eastAsia"/>
          <w:sz w:val="32"/>
          <w:szCs w:val="32"/>
        </w:rPr>
        <w:lastRenderedPageBreak/>
        <w:t>度》，推动建立分工明确、运行安全、体系完善、服务高效的社会信用体系框架和运行机制。完善政务守信践诺机制，组织了区直147个部门签署了政务承诺书，以政务诚信引领社会诚信。</w:t>
      </w:r>
    </w:p>
    <w:p w:rsidR="00CF4758" w:rsidRDefault="00DC1118">
      <w:pPr>
        <w:spacing w:line="560" w:lineRule="exact"/>
        <w:rPr>
          <w:rFonts w:ascii="仿宋" w:eastAsia="仿宋" w:hAnsi="仿宋"/>
          <w:sz w:val="32"/>
          <w:szCs w:val="32"/>
        </w:rPr>
      </w:pPr>
      <w:r>
        <w:rPr>
          <w:rFonts w:ascii="仿宋" w:eastAsia="仿宋" w:hAnsi="仿宋" w:cs="仿宋" w:hint="eastAsia"/>
          <w:sz w:val="32"/>
          <w:szCs w:val="32"/>
        </w:rPr>
        <w:t xml:space="preserve">    </w:t>
      </w:r>
      <w:r>
        <w:rPr>
          <w:rFonts w:ascii="楷体" w:eastAsia="楷体" w:hAnsi="楷体" w:hint="eastAsia"/>
          <w:b/>
          <w:sz w:val="32"/>
          <w:szCs w:val="32"/>
        </w:rPr>
        <w:t>（三）加强思想理论学习，不断提升法治素养。</w:t>
      </w:r>
      <w:r>
        <w:rPr>
          <w:rFonts w:ascii="仿宋" w:eastAsia="仿宋" w:hAnsi="仿宋" w:hint="eastAsia"/>
          <w:sz w:val="32"/>
          <w:szCs w:val="32"/>
        </w:rPr>
        <w:t>加强理想信念学习，深入学习宣传贯彻党的二十大精神和习近平法治思想。将理论学习与党建工作相结合，列入2023年度营商局党支部学习计划中，组织局党员干部系统学习《中华人民共和国民法典》深入学习</w:t>
      </w:r>
      <w:r w:rsidR="00D250BB">
        <w:rPr>
          <w:rFonts w:ascii="仿宋" w:eastAsia="仿宋" w:hAnsi="仿宋" w:hint="eastAsia"/>
          <w:sz w:val="32"/>
          <w:szCs w:val="32"/>
        </w:rPr>
        <w:t>《</w:t>
      </w:r>
      <w:r>
        <w:rPr>
          <w:rFonts w:ascii="仿宋" w:eastAsia="仿宋" w:hAnsi="仿宋" w:hint="eastAsia"/>
          <w:sz w:val="32"/>
          <w:szCs w:val="32"/>
        </w:rPr>
        <w:t>习近平</w:t>
      </w:r>
      <w:r w:rsidR="005B40D8">
        <w:rPr>
          <w:rFonts w:ascii="仿宋" w:eastAsia="仿宋" w:hAnsi="仿宋" w:hint="eastAsia"/>
          <w:sz w:val="32"/>
          <w:szCs w:val="32"/>
        </w:rPr>
        <w:t>谈</w:t>
      </w:r>
      <w:r>
        <w:rPr>
          <w:rFonts w:ascii="仿宋" w:eastAsia="仿宋" w:hAnsi="仿宋" w:hint="eastAsia"/>
          <w:sz w:val="32"/>
          <w:szCs w:val="32"/>
        </w:rPr>
        <w:t>治国理政</w:t>
      </w:r>
      <w:r w:rsidR="00D250BB">
        <w:rPr>
          <w:rFonts w:ascii="仿宋" w:eastAsia="仿宋" w:hAnsi="仿宋" w:hint="eastAsia"/>
          <w:sz w:val="32"/>
          <w:szCs w:val="32"/>
        </w:rPr>
        <w:t>》</w:t>
      </w:r>
      <w:r>
        <w:rPr>
          <w:rFonts w:ascii="仿宋" w:eastAsia="仿宋" w:hAnsi="仿宋" w:hint="eastAsia"/>
          <w:sz w:val="32"/>
          <w:szCs w:val="32"/>
        </w:rPr>
        <w:t>第四卷《习近平法治思想》《党的二十大关于依法治国精神》《中华人民共和国宪法》等法律法规，增强学习贯彻法治思想的自觉性和坚定性，强化干部职工都要严格按法规制度办事，不断提升行政效能和公信力。</w:t>
      </w:r>
    </w:p>
    <w:p w:rsidR="00CF4758" w:rsidRDefault="00DC1118">
      <w:pPr>
        <w:spacing w:line="560" w:lineRule="exact"/>
        <w:rPr>
          <w:rFonts w:ascii="仿宋" w:eastAsia="仿宋" w:hAnsi="仿宋"/>
          <w:sz w:val="32"/>
          <w:szCs w:val="32"/>
        </w:rPr>
      </w:pPr>
      <w:r>
        <w:rPr>
          <w:rFonts w:ascii="仿宋" w:eastAsia="仿宋" w:hAnsi="仿宋" w:hint="eastAsia"/>
          <w:sz w:val="32"/>
          <w:szCs w:val="32"/>
        </w:rPr>
        <w:t xml:space="preserve">    </w:t>
      </w:r>
      <w:r>
        <w:rPr>
          <w:rFonts w:ascii="楷体" w:eastAsia="楷体" w:hAnsi="楷体" w:hint="eastAsia"/>
          <w:b/>
          <w:sz w:val="32"/>
          <w:szCs w:val="32"/>
        </w:rPr>
        <w:t>（四）围绕依法治区工作目标，弘扬法治精神。</w:t>
      </w:r>
      <w:r>
        <w:rPr>
          <w:rFonts w:ascii="仿宋" w:eastAsia="仿宋" w:hAnsi="仿宋" w:cs="仿宋" w:hint="eastAsia"/>
          <w:bCs/>
          <w:sz w:val="32"/>
          <w:szCs w:val="32"/>
        </w:rPr>
        <w:t>先后在区政务服务中心、区网格化协调指挥中心开展了《民法典》《国家宪法日》《行政复议法》等宣传活动，利用</w:t>
      </w:r>
      <w:r>
        <w:rPr>
          <w:rFonts w:ascii="仿宋" w:eastAsia="仿宋" w:hAnsi="仿宋" w:hint="eastAsia"/>
          <w:sz w:val="32"/>
          <w:szCs w:val="32"/>
        </w:rPr>
        <w:t>电子屏播放宣传口号，张贴法治宣传海报，扩大学习面，使受教育群众达到千余人以上，</w:t>
      </w:r>
      <w:r>
        <w:rPr>
          <w:rFonts w:ascii="仿宋" w:eastAsia="仿宋" w:hAnsi="仿宋" w:hint="eastAsia"/>
          <w:bCs/>
          <w:sz w:val="32"/>
          <w:szCs w:val="32"/>
        </w:rPr>
        <w:t>营造了浓厚的法治氛围。</w:t>
      </w:r>
      <w:r>
        <w:rPr>
          <w:rFonts w:ascii="仿宋" w:eastAsia="仿宋" w:hAnsi="仿宋" w:hint="eastAsia"/>
          <w:sz w:val="32"/>
          <w:szCs w:val="32"/>
        </w:rPr>
        <w:t>在万达广场开展了优化营商环境系列法治宣讲活动，通过面对面交流、现场解答等方式，详细解读了优化营商环境相关法律法规及惠企利民举措。</w:t>
      </w:r>
      <w:r>
        <w:rPr>
          <w:rFonts w:ascii="仿宋" w:eastAsia="仿宋" w:hAnsi="仿宋" w:hint="eastAsia"/>
          <w:bCs/>
          <w:sz w:val="32"/>
          <w:szCs w:val="32"/>
        </w:rPr>
        <w:t>组织干部职工</w:t>
      </w:r>
      <w:r>
        <w:rPr>
          <w:rFonts w:ascii="仿宋" w:eastAsia="仿宋" w:hAnsi="仿宋" w:hint="eastAsia"/>
          <w:sz w:val="32"/>
          <w:szCs w:val="32"/>
        </w:rPr>
        <w:t>集体学习全国普法办和省普法办等宪法宣传片，同时</w:t>
      </w:r>
      <w:r>
        <w:rPr>
          <w:rFonts w:ascii="仿宋" w:eastAsia="仿宋" w:hAnsi="仿宋" w:hint="eastAsia"/>
          <w:bCs/>
          <w:sz w:val="32"/>
          <w:szCs w:val="32"/>
        </w:rPr>
        <w:t>以考促学，</w:t>
      </w:r>
      <w:r>
        <w:rPr>
          <w:rFonts w:ascii="仿宋" w:eastAsia="仿宋" w:hAnsi="仿宋" w:hint="eastAsia"/>
          <w:sz w:val="32"/>
          <w:szCs w:val="32"/>
        </w:rPr>
        <w:t>营造守法知法学法的浓厚氛围。</w:t>
      </w:r>
    </w:p>
    <w:p w:rsidR="00CF4758" w:rsidRDefault="00DC1118">
      <w:pPr>
        <w:spacing w:line="560" w:lineRule="exact"/>
        <w:rPr>
          <w:rFonts w:ascii="仿宋" w:eastAsia="仿宋" w:hAnsi="仿宋" w:cs="仿宋"/>
          <w:sz w:val="32"/>
          <w:szCs w:val="32"/>
        </w:rPr>
      </w:pPr>
      <w:r>
        <w:rPr>
          <w:rFonts w:ascii="仿宋" w:eastAsia="仿宋" w:hAnsi="仿宋" w:hint="eastAsia"/>
          <w:sz w:val="32"/>
          <w:szCs w:val="32"/>
        </w:rPr>
        <w:t xml:space="preserve">   </w:t>
      </w:r>
      <w:r>
        <w:rPr>
          <w:rFonts w:ascii="楷体" w:eastAsia="楷体" w:hAnsi="楷体" w:cs="楷体" w:hint="eastAsia"/>
          <w:b/>
          <w:bCs/>
          <w:sz w:val="32"/>
          <w:szCs w:val="32"/>
        </w:rPr>
        <w:t>（五）大力开展诚信体系建设</w:t>
      </w:r>
      <w:r>
        <w:rPr>
          <w:rFonts w:ascii="楷体" w:eastAsia="楷体" w:hAnsi="楷体" w:hint="eastAsia"/>
          <w:b/>
          <w:sz w:val="32"/>
          <w:szCs w:val="32"/>
        </w:rPr>
        <w:t>，助推法治政府建设。</w:t>
      </w:r>
      <w:r>
        <w:rPr>
          <w:rFonts w:ascii="仿宋" w:eastAsia="仿宋" w:hAnsi="仿宋" w:cs="仿宋" w:hint="eastAsia"/>
          <w:sz w:val="32"/>
          <w:szCs w:val="32"/>
        </w:rPr>
        <w:t>开展了“诚信进小区”“诚信进校园”“诚信进企业”等系列主题宣传活动，拓宽诚信宣传覆盖群体。打造“诚信示范一条街”，对万</w:t>
      </w:r>
      <w:r>
        <w:rPr>
          <w:rFonts w:ascii="仿宋" w:eastAsia="仿宋" w:hAnsi="仿宋" w:cs="仿宋" w:hint="eastAsia"/>
          <w:sz w:val="32"/>
          <w:szCs w:val="32"/>
        </w:rPr>
        <w:lastRenderedPageBreak/>
        <w:t>达“诚信示范一条街”</w:t>
      </w:r>
      <w:r>
        <w:rPr>
          <w:rFonts w:ascii="仿宋" w:eastAsia="仿宋" w:hAnsi="仿宋" w:cs="仿宋"/>
          <w:sz w:val="32"/>
          <w:szCs w:val="32"/>
        </w:rPr>
        <w:t>50</w:t>
      </w:r>
      <w:r>
        <w:rPr>
          <w:rFonts w:ascii="仿宋" w:eastAsia="仿宋" w:hAnsi="仿宋" w:cs="仿宋" w:hint="eastAsia"/>
          <w:sz w:val="32"/>
          <w:szCs w:val="32"/>
        </w:rPr>
        <w:t>家商户建档赋码，开展诚信经营系列宣讲活动3场次，</w:t>
      </w:r>
      <w:r>
        <w:rPr>
          <w:rFonts w:ascii="仿宋" w:eastAsia="仿宋" w:hAnsi="仿宋" w:hint="eastAsia"/>
          <w:sz w:val="32"/>
          <w:szCs w:val="32"/>
        </w:rPr>
        <w:t>发放诚信经营宣传海报资料百余份，引导商家主动“亮码”，倡导商户做诚信经营的践行者、传播者、推动者，营造了“人人关心营商环境，人人维护营商环境”的良好氛围，推动了优化法治营商环境不断走深走实。</w:t>
      </w:r>
    </w:p>
    <w:p w:rsidR="00CF4758" w:rsidRDefault="00DC11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二、存在的不足和原因</w:t>
      </w:r>
    </w:p>
    <w:p w:rsidR="00CF4758" w:rsidRDefault="00DC1118">
      <w:pPr>
        <w:spacing w:line="560" w:lineRule="exact"/>
        <w:ind w:firstLineChars="200" w:firstLine="640"/>
        <w:rPr>
          <w:rFonts w:ascii="仿宋" w:eastAsia="仿宋" w:hAnsi="仿宋" w:cs="仿宋"/>
          <w:sz w:val="32"/>
          <w:szCs w:val="32"/>
        </w:rPr>
      </w:pPr>
      <w:r>
        <w:rPr>
          <w:rFonts w:ascii="仿宋" w:eastAsia="仿宋" w:hAnsi="仿宋" w:hint="eastAsia"/>
          <w:sz w:val="32"/>
          <w:szCs w:val="32"/>
        </w:rPr>
        <w:t>法治思想宣传教育工作上，未形成本单位干部职工人人都是“普法者”“建设者”的工作意识，仅仅限于营商环境方面的法治宣传；与各部门沟通协调不足，在协调各部门共同宣讲营商环境法律法规上，招法不多。</w:t>
      </w:r>
    </w:p>
    <w:p w:rsidR="00CF4758" w:rsidRDefault="00DC1118">
      <w:pPr>
        <w:spacing w:line="253" w:lineRule="auto"/>
        <w:ind w:firstLineChars="200" w:firstLine="640"/>
        <w:rPr>
          <w:rFonts w:ascii="黑体" w:eastAsia="黑体" w:hAnsi="黑体" w:cs="黑体"/>
          <w:sz w:val="32"/>
          <w:szCs w:val="32"/>
        </w:rPr>
      </w:pPr>
      <w:r>
        <w:rPr>
          <w:rFonts w:ascii="黑体" w:eastAsia="黑体" w:hAnsi="黑体" w:cs="黑体" w:hint="eastAsia"/>
          <w:sz w:val="32"/>
          <w:szCs w:val="32"/>
        </w:rPr>
        <w:t>三、党政主要负责人履行推进法治建设第一责任人职责，加强法治政府建设的有关情况</w:t>
      </w:r>
    </w:p>
    <w:p w:rsidR="00CF4758" w:rsidRDefault="00DC1118">
      <w:pPr>
        <w:spacing w:line="560" w:lineRule="exact"/>
        <w:ind w:firstLineChars="200" w:firstLine="643"/>
        <w:rPr>
          <w:rFonts w:ascii="仿宋" w:eastAsia="仿宋" w:hAnsi="仿宋"/>
          <w:sz w:val="32"/>
          <w:szCs w:val="32"/>
        </w:rPr>
      </w:pPr>
      <w:r>
        <w:rPr>
          <w:rFonts w:ascii="楷体" w:eastAsia="楷体" w:hAnsi="楷体" w:hint="eastAsia"/>
          <w:b/>
          <w:sz w:val="32"/>
          <w:szCs w:val="32"/>
        </w:rPr>
        <w:t>（一）牢固确立社会主义法治理念。</w:t>
      </w:r>
      <w:r>
        <w:rPr>
          <w:rFonts w:ascii="仿宋" w:eastAsia="仿宋" w:hAnsi="仿宋" w:hint="eastAsia"/>
          <w:sz w:val="32"/>
          <w:szCs w:val="32"/>
        </w:rPr>
        <w:t>一年来，能够带头深入学习贯彻落实习近平法治思想，贯彻落实习近平总书记关于法治建设的重要指示精神。贯彻落实党中央及省委关于全面依法治国、治省的重大决策部署、市委关于全面依法治市的工作要求和有关党内法规。结合区依法治区办的法治理论学习要求，较好地完成了各项学习计划，夯实了法治思想理念，提升依法行政能力。</w:t>
      </w:r>
    </w:p>
    <w:p w:rsidR="00CF4758" w:rsidRDefault="00DC1118">
      <w:pPr>
        <w:spacing w:line="560" w:lineRule="exact"/>
        <w:ind w:firstLineChars="200" w:firstLine="643"/>
        <w:rPr>
          <w:rFonts w:ascii="仿宋" w:eastAsia="仿宋" w:hAnsi="仿宋"/>
          <w:sz w:val="32"/>
          <w:szCs w:val="32"/>
        </w:rPr>
      </w:pPr>
      <w:r>
        <w:rPr>
          <w:rFonts w:ascii="楷体" w:eastAsia="楷体" w:hAnsi="楷体" w:hint="eastAsia"/>
          <w:b/>
          <w:sz w:val="32"/>
          <w:szCs w:val="32"/>
        </w:rPr>
        <w:t>（二）进一步加强对部门的法治建设工作领导。</w:t>
      </w:r>
      <w:r>
        <w:rPr>
          <w:rFonts w:ascii="仿宋" w:eastAsia="仿宋" w:hAnsi="仿宋" w:hint="eastAsia"/>
          <w:sz w:val="32"/>
          <w:szCs w:val="32"/>
        </w:rPr>
        <w:t>在法治政府建设重要工作中，做到亲自参与部署，及时研究法治政府建设有关重大问题。在贯彻落实《中央全面依法治国委员会〈关于进一步加强市县法治建设的意见〉》的具体措施，《向阳区争创全国法治政府建设示范区自查台账》，《佳木斯市法治政府建</w:t>
      </w:r>
      <w:r>
        <w:rPr>
          <w:rFonts w:ascii="仿宋" w:eastAsia="仿宋" w:hAnsi="仿宋" w:hint="eastAsia"/>
          <w:sz w:val="32"/>
          <w:szCs w:val="32"/>
        </w:rPr>
        <w:lastRenderedPageBreak/>
        <w:t>设重要举措分工实施方案（2021—2025年）落实情况汇总表》上多次组织例会，对意见征求内容反复推敲，认真研判各项工作任务，与区依法治区办多次沟通，最终形成分工明确，任务清晰的方案。</w:t>
      </w:r>
    </w:p>
    <w:p w:rsidR="00CF4758" w:rsidRDefault="00DC1118">
      <w:pPr>
        <w:spacing w:line="560" w:lineRule="exact"/>
        <w:ind w:firstLineChars="200" w:firstLine="643"/>
        <w:rPr>
          <w:rFonts w:ascii="仿宋" w:eastAsia="仿宋" w:hAnsi="仿宋"/>
          <w:sz w:val="32"/>
          <w:szCs w:val="32"/>
        </w:rPr>
      </w:pPr>
      <w:r>
        <w:rPr>
          <w:rFonts w:ascii="楷体" w:eastAsia="楷体" w:hAnsi="楷体" w:cs="楷体" w:hint="eastAsia"/>
          <w:b/>
          <w:bCs/>
          <w:sz w:val="32"/>
          <w:szCs w:val="32"/>
        </w:rPr>
        <w:t>（三）</w:t>
      </w:r>
      <w:r>
        <w:rPr>
          <w:rFonts w:ascii="楷体" w:eastAsia="楷体" w:hAnsi="楷体" w:hint="eastAsia"/>
          <w:b/>
          <w:sz w:val="32"/>
          <w:szCs w:val="32"/>
        </w:rPr>
        <w:t>严格执行重大行政决策法定程序。</w:t>
      </w:r>
      <w:r>
        <w:rPr>
          <w:rFonts w:ascii="仿宋" w:eastAsia="仿宋" w:hAnsi="仿宋" w:hint="eastAsia"/>
          <w:sz w:val="32"/>
          <w:szCs w:val="32"/>
        </w:rPr>
        <w:t>在局内重大事项决策过程中，始终坚持依法决策，科学决策，民主决策，在营商各项工作中始终遵循严明政治纪律和规矩，心中装有“法定职责必须为，法无授权不可为”的理念。重大决策必须经过集体商讨，召开班子会议，不搞“一言堂”。2023年，区营商局关于“三重一大”会议记录7次，一年来，无一起因决策失误或侵犯群众合法权益事件发生。</w:t>
      </w:r>
    </w:p>
    <w:p w:rsidR="00CF4758" w:rsidRDefault="00DC1118">
      <w:pPr>
        <w:spacing w:line="253" w:lineRule="auto"/>
        <w:ind w:firstLineChars="200" w:firstLine="640"/>
        <w:rPr>
          <w:rFonts w:ascii="黑体" w:eastAsia="黑体" w:hAnsi="黑体" w:cs="黑体"/>
          <w:sz w:val="32"/>
          <w:szCs w:val="32"/>
        </w:rPr>
      </w:pPr>
      <w:r>
        <w:rPr>
          <w:rFonts w:ascii="黑体" w:eastAsia="黑体" w:hAnsi="黑体" w:cs="黑体" w:hint="eastAsia"/>
          <w:sz w:val="32"/>
          <w:szCs w:val="32"/>
        </w:rPr>
        <w:t>四、2024年推进法治政府建设的主要安排</w:t>
      </w:r>
    </w:p>
    <w:p w:rsidR="00CF4758" w:rsidRDefault="00DC1118">
      <w:pPr>
        <w:autoSpaceDE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我们将紧紧围绕法治营商环境建设目标，进一步优化营商环境体系建设，持续认真贯彻落实法治政府建设各项工作任务，加强与各部门的沟通协调，发挥联动机制，提高政务服务法治化管理水平，提升法治化队伍建设，夯实守法、学法、用法意识。</w:t>
      </w:r>
    </w:p>
    <w:p w:rsidR="00CF4758" w:rsidRDefault="00DC1118">
      <w:pPr>
        <w:spacing w:line="253" w:lineRule="auto"/>
        <w:ind w:firstLineChars="200" w:firstLine="640"/>
        <w:rPr>
          <w:rFonts w:ascii="黑体" w:eastAsia="黑体" w:hAnsi="黑体" w:cs="黑体"/>
          <w:sz w:val="32"/>
          <w:szCs w:val="32"/>
        </w:rPr>
      </w:pPr>
      <w:r>
        <w:rPr>
          <w:rFonts w:ascii="黑体" w:eastAsia="黑体" w:hAnsi="黑体" w:cs="黑体" w:hint="eastAsia"/>
          <w:sz w:val="32"/>
          <w:szCs w:val="32"/>
        </w:rPr>
        <w:t>五、其他需要报告的情况。</w:t>
      </w:r>
    </w:p>
    <w:p w:rsidR="00CF4758" w:rsidRDefault="00DC1118">
      <w:pPr>
        <w:spacing w:line="560" w:lineRule="exact"/>
        <w:ind w:firstLine="645"/>
        <w:rPr>
          <w:rFonts w:ascii="仿宋" w:eastAsia="仿宋" w:hAnsi="仿宋" w:cs="仿宋"/>
          <w:sz w:val="32"/>
          <w:szCs w:val="32"/>
        </w:rPr>
      </w:pPr>
      <w:r>
        <w:rPr>
          <w:rFonts w:ascii="仿宋" w:eastAsia="仿宋" w:hAnsi="仿宋" w:cs="仿宋" w:hint="eastAsia"/>
          <w:sz w:val="32"/>
          <w:szCs w:val="32"/>
        </w:rPr>
        <w:t>无。</w:t>
      </w:r>
    </w:p>
    <w:sectPr w:rsidR="00CF4758" w:rsidSect="00CF4758">
      <w:headerReference w:type="default" r:id="rId8"/>
      <w:footerReference w:type="default" r:id="rId9"/>
      <w:pgSz w:w="11906" w:h="16838"/>
      <w:pgMar w:top="1531" w:right="1588" w:bottom="153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4C" w:rsidRDefault="00F5244C" w:rsidP="00CF4758">
      <w:r>
        <w:separator/>
      </w:r>
    </w:p>
  </w:endnote>
  <w:endnote w:type="continuationSeparator" w:id="0">
    <w:p w:rsidR="00F5244C" w:rsidRDefault="00F5244C" w:rsidP="00CF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58" w:rsidRDefault="00934187">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sdt>
                <w:sdtPr>
                  <w:id w:val="22089508"/>
                </w:sdtPr>
                <w:sdtContent>
                  <w:p w:rsidR="00CF4758" w:rsidRDefault="00934187">
                    <w:pPr>
                      <w:pStyle w:val="a5"/>
                      <w:jc w:val="center"/>
                    </w:pPr>
                    <w:r w:rsidRPr="00934187">
                      <w:fldChar w:fldCharType="begin"/>
                    </w:r>
                    <w:r w:rsidR="00DC1118">
                      <w:instrText xml:space="preserve"> PAGE   \* MERGEFORMAT </w:instrText>
                    </w:r>
                    <w:r w:rsidRPr="00934187">
                      <w:fldChar w:fldCharType="separate"/>
                    </w:r>
                    <w:r w:rsidR="00014481" w:rsidRPr="00014481">
                      <w:rPr>
                        <w:noProof/>
                        <w:lang w:val="zh-CN"/>
                      </w:rPr>
                      <w:t>1</w:t>
                    </w:r>
                    <w:r>
                      <w:rPr>
                        <w:lang w:val="zh-CN"/>
                      </w:rPr>
                      <w:fldChar w:fldCharType="end"/>
                    </w:r>
                  </w:p>
                </w:sdtContent>
              </w:sdt>
              <w:p w:rsidR="00CF4758" w:rsidRDefault="00CF4758">
                <w:pPr>
                  <w:pStyle w:val="1"/>
                </w:pPr>
              </w:p>
            </w:txbxContent>
          </v:textbox>
          <w10:wrap anchorx="margin"/>
        </v:shape>
      </w:pict>
    </w:r>
  </w:p>
  <w:p w:rsidR="00CF4758" w:rsidRDefault="00CF47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4C" w:rsidRDefault="00F5244C" w:rsidP="00CF4758">
      <w:r>
        <w:separator/>
      </w:r>
    </w:p>
  </w:footnote>
  <w:footnote w:type="continuationSeparator" w:id="0">
    <w:p w:rsidR="00F5244C" w:rsidRDefault="00F5244C" w:rsidP="00CF4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58" w:rsidRDefault="00CF475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7A706D"/>
    <w:multiLevelType w:val="singleLevel"/>
    <w:tmpl w:val="BC7A706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I0ODZlZTVjNzZjZTljZmMyYzg0MTA5YTFjNWIxN2QifQ=="/>
  </w:docVars>
  <w:rsids>
    <w:rsidRoot w:val="00CF4758"/>
    <w:rsid w:val="00014481"/>
    <w:rsid w:val="000205DE"/>
    <w:rsid w:val="005B40D8"/>
    <w:rsid w:val="00934187"/>
    <w:rsid w:val="00CF4758"/>
    <w:rsid w:val="00D250BB"/>
    <w:rsid w:val="00DC1118"/>
    <w:rsid w:val="00F5244C"/>
    <w:rsid w:val="01A67455"/>
    <w:rsid w:val="4A266DE0"/>
    <w:rsid w:val="5F775CBC"/>
    <w:rsid w:val="72613315"/>
    <w:rsid w:val="76CA0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Body Tex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758"/>
    <w:pPr>
      <w:widowControl w:val="0"/>
      <w:jc w:val="both"/>
    </w:pPr>
    <w:rPr>
      <w:rFonts w:ascii="Calibri" w:hAnsi="Calibri" w:cs="宋体"/>
      <w:kern w:val="2"/>
      <w:sz w:val="21"/>
      <w:szCs w:val="21"/>
    </w:rPr>
  </w:style>
  <w:style w:type="paragraph" w:styleId="1">
    <w:name w:val="heading 1"/>
    <w:basedOn w:val="a"/>
    <w:next w:val="a"/>
    <w:autoRedefine/>
    <w:uiPriority w:val="99"/>
    <w:qFormat/>
    <w:rsid w:val="00CF4758"/>
    <w:pPr>
      <w:keepNext/>
      <w:keepLines/>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sid w:val="00CF4758"/>
    <w:rPr>
      <w:rFonts w:ascii="仿宋" w:eastAsia="仿宋" w:hAnsi="仿宋" w:cs="仿宋"/>
      <w:sz w:val="63"/>
      <w:szCs w:val="63"/>
      <w:lang w:eastAsia="en-US"/>
    </w:rPr>
  </w:style>
  <w:style w:type="paragraph" w:styleId="2">
    <w:name w:val="Body Text Indent 2"/>
    <w:basedOn w:val="a"/>
    <w:autoRedefine/>
    <w:qFormat/>
    <w:rsid w:val="00CF4758"/>
    <w:pPr>
      <w:spacing w:before="100" w:beforeAutospacing="1" w:after="120" w:line="480" w:lineRule="auto"/>
      <w:ind w:leftChars="200" w:left="200"/>
    </w:pPr>
  </w:style>
  <w:style w:type="paragraph" w:styleId="a4">
    <w:name w:val="Balloon Text"/>
    <w:basedOn w:val="a"/>
    <w:link w:val="Char"/>
    <w:autoRedefine/>
    <w:qFormat/>
    <w:rsid w:val="00CF4758"/>
    <w:rPr>
      <w:sz w:val="18"/>
      <w:szCs w:val="18"/>
    </w:rPr>
  </w:style>
  <w:style w:type="paragraph" w:styleId="a5">
    <w:name w:val="footer"/>
    <w:basedOn w:val="a"/>
    <w:link w:val="Char0"/>
    <w:autoRedefine/>
    <w:uiPriority w:val="99"/>
    <w:qFormat/>
    <w:rsid w:val="00CF4758"/>
    <w:pPr>
      <w:tabs>
        <w:tab w:val="center" w:pos="4153"/>
        <w:tab w:val="right" w:pos="8306"/>
      </w:tabs>
      <w:snapToGrid w:val="0"/>
      <w:jc w:val="left"/>
    </w:pPr>
    <w:rPr>
      <w:sz w:val="18"/>
      <w:szCs w:val="18"/>
    </w:rPr>
  </w:style>
  <w:style w:type="paragraph" w:styleId="a6">
    <w:name w:val="header"/>
    <w:basedOn w:val="a"/>
    <w:autoRedefine/>
    <w:qFormat/>
    <w:rsid w:val="00CF475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F4758"/>
    <w:pPr>
      <w:widowControl/>
      <w:spacing w:before="100" w:beforeAutospacing="1" w:after="100" w:afterAutospacing="1"/>
      <w:jc w:val="left"/>
    </w:pPr>
    <w:rPr>
      <w:rFonts w:ascii="宋体" w:hAnsi="宋体"/>
      <w:kern w:val="0"/>
      <w:sz w:val="24"/>
      <w:szCs w:val="24"/>
    </w:rPr>
  </w:style>
  <w:style w:type="character" w:customStyle="1" w:styleId="Char0">
    <w:name w:val="页脚 Char"/>
    <w:basedOn w:val="a0"/>
    <w:link w:val="a5"/>
    <w:uiPriority w:val="99"/>
    <w:qFormat/>
    <w:rsid w:val="00CF4758"/>
    <w:rPr>
      <w:rFonts w:ascii="Calibri" w:hAnsi="Calibri" w:cs="宋体"/>
      <w:kern w:val="2"/>
      <w:sz w:val="18"/>
      <w:szCs w:val="18"/>
    </w:rPr>
  </w:style>
  <w:style w:type="character" w:customStyle="1" w:styleId="Char">
    <w:name w:val="批注框文本 Char"/>
    <w:basedOn w:val="a0"/>
    <w:link w:val="a4"/>
    <w:autoRedefine/>
    <w:qFormat/>
    <w:rsid w:val="00CF4758"/>
    <w:rPr>
      <w:rFonts w:ascii="Calibri" w:eastAsia="宋体" w:hAnsi="Calibri" w:cs="宋体"/>
      <w:kern w:val="2"/>
      <w:sz w:val="18"/>
      <w:szCs w:val="18"/>
    </w:rPr>
  </w:style>
  <w:style w:type="paragraph" w:customStyle="1" w:styleId="p0">
    <w:name w:val="p0"/>
    <w:basedOn w:val="a"/>
    <w:autoRedefine/>
    <w:qFormat/>
    <w:rsid w:val="00CF4758"/>
    <w:pPr>
      <w:widowControl/>
    </w:pPr>
    <w:rPr>
      <w:rFonts w:ascii="Times New Roman" w:hAnsi="Times New Roman" w:cs="Times New Roman"/>
      <w:kern w:val="0"/>
    </w:rPr>
  </w:style>
  <w:style w:type="paragraph" w:customStyle="1" w:styleId="-1">
    <w:name w:val="正文-公1"/>
    <w:basedOn w:val="a"/>
    <w:autoRedefine/>
    <w:qFormat/>
    <w:rsid w:val="00CF4758"/>
    <w:pPr>
      <w:ind w:firstLineChars="200" w:firstLine="200"/>
    </w:pPr>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1728</Characters>
  <Application>Microsoft Office Word</Application>
  <DocSecurity>0</DocSecurity>
  <Lines>14</Lines>
  <Paragraphs>4</Paragraphs>
  <ScaleCrop>false</ScaleCrop>
  <Company>微软中国</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省计生协2017年工作要点</dc:title>
  <dc:creator>X</dc:creator>
  <cp:lastModifiedBy>Administrator</cp:lastModifiedBy>
  <cp:revision>2</cp:revision>
  <cp:lastPrinted>2024-02-19T01:14:00Z</cp:lastPrinted>
  <dcterms:created xsi:type="dcterms:W3CDTF">2024-03-05T07:52:00Z</dcterms:created>
  <dcterms:modified xsi:type="dcterms:W3CDTF">2024-03-05T07:52:00Z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761ABBD9483946A28A4CDCE547BC944C_13</vt:lpwstr>
  </property>
</Properties>
</file>